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Georgia" w:hAnsi="Georgia"/>
          <w:b/>
          <w:sz w:val="44"/>
        </w:rPr>
        <w:t>Ahmad Sheikh-Khalil</w:t>
      </w:r>
    </w:p>
    <w:p>
      <w:pPr>
        <w:spacing w:after="40"/>
      </w:pPr>
      <w:r>
        <w:rPr>
          <w:rFonts w:ascii="Calibri" w:hAnsi="Calibri"/>
          <w:b w:val="0"/>
          <w:color w:val="7D5F16"/>
          <w:sz w:val="20"/>
        </w:rPr>
        <w:t>IT Operations &amp; Service Desk Manager · Builds the tooling</w:t>
      </w:r>
    </w:p>
    <w:p>
      <w:pPr>
        <w:spacing w:after="200"/>
      </w:pPr>
      <w:r>
        <w:rPr>
          <w:rFonts w:ascii="Calibri" w:hAnsi="Calibri"/>
          <w:b w:val="0"/>
          <w:color w:val="4A5A50"/>
          <w:sz w:val="18"/>
        </w:rPr>
        <w:t>Tucson, Arizona  ·  ahmad@askandalus.com  ·  github.com/ahmadsk-cell  ·  linkedin.com/in/ahmad-sheikh-khalil-161402149</w:t>
      </w:r>
    </w:p>
    <w:p>
      <w:pPr>
        <w:spacing w:after="60"/>
      </w:pPr>
      <w:r>
        <w:rPr>
          <w:rFonts w:ascii="Georgia" w:hAnsi="Georgia"/>
          <w:b/>
          <w:color w:val="185A3A"/>
          <w:sz w:val="24"/>
        </w:rPr>
        <w:t>SUMMARY</w:t>
      </w:r>
    </w:p>
    <w:p>
      <w:pPr>
        <w:spacing w:after="160"/>
      </w:pPr>
      <w:r>
        <w:rPr>
          <w:rFonts w:ascii="Calibri" w:hAnsi="Calibri"/>
          <w:b w:val="0"/>
          <w:sz w:val="20"/>
        </w:rPr>
        <w:t>Service desk manager who builds his own tooling. Five years running IT for a 13-site healthcare network, plus four shipped products: an ITSM operations copilot with multi-provider AI integration, a live ITIL-aligned service management platform, an IT financial management dashboard for cost allocation and executive reporting, and a live consumer recommendation engine with 100+ daily users. Operationally: raised SLA compliance from 74% to 96% in three months, cut mean resolution time 35%, and led a 10–12 person multi-tier desk handling 4,000–5,000 tickets monthly. M.S. in Computer Information Systems, ITIL v4 certified. Fluent in English and Arabic.</w:t>
      </w:r>
    </w:p>
    <w:p>
      <w:pPr>
        <w:spacing w:after="60"/>
      </w:pPr>
      <w:r>
        <w:rPr>
          <w:rFonts w:ascii="Georgia" w:hAnsi="Georgia"/>
          <w:b/>
          <w:color w:val="185A3A"/>
          <w:sz w:val="24"/>
        </w:rPr>
        <w:t>SELECTED RESULTS</w:t>
      </w:r>
    </w:p>
    <w:p>
      <w:pPr>
        <w:pStyle w:val="ListBullet"/>
        <w:spacing w:after="40"/>
      </w:pPr>
      <w:r>
        <w:rPr>
          <w:sz w:val="20"/>
        </w:rPr>
        <w:t>96% — SLA compliance (raised from 74%)</w:t>
      </w:r>
    </w:p>
    <w:p>
      <w:pPr>
        <w:pStyle w:val="ListBullet"/>
        <w:spacing w:after="40"/>
      </w:pPr>
      <w:r>
        <w:rPr>
          <w:sz w:val="20"/>
        </w:rPr>
        <w:t>35% — Faster resolution (mean time to resolve)</w:t>
      </w:r>
    </w:p>
    <w:p>
      <w:pPr>
        <w:pStyle w:val="ListBullet"/>
        <w:spacing w:after="40"/>
      </w:pPr>
      <w:r>
        <w:rPr>
          <w:sz w:val="20"/>
        </w:rPr>
        <w:t>13 — Sites operated (healthcare network)</w:t>
      </w:r>
    </w:p>
    <w:p>
      <w:pPr>
        <w:pStyle w:val="ListBullet"/>
        <w:spacing w:after="40"/>
      </w:pPr>
      <w:r>
        <w:rPr>
          <w:sz w:val="20"/>
        </w:rPr>
        <w:t>5 yrs — Running IT ops (service desk leadership)</w:t>
      </w:r>
    </w:p>
    <w:p>
      <w:pPr>
        <w:spacing w:after="60"/>
      </w:pPr>
      <w:r>
        <w:rPr>
          <w:rFonts w:ascii="Georgia" w:hAnsi="Georgia"/>
          <w:b/>
          <w:color w:val="185A3A"/>
          <w:sz w:val="24"/>
        </w:rPr>
        <w:t>EXPERIENCE</w:t>
      </w:r>
    </w:p>
    <w:p>
      <w:pPr>
        <w:spacing w:after="20"/>
      </w:pPr>
      <w:r>
        <w:rPr>
          <w:rFonts w:ascii="Calibri" w:hAnsi="Calibri"/>
          <w:b/>
          <w:sz w:val="20"/>
        </w:rPr>
        <w:t>IT Service Desk Manager &amp; Support Engineer — Insight Institute of Neurosurgery &amp; Neuroscience (IINN)</w:t>
      </w:r>
    </w:p>
    <w:p>
      <w:pPr>
        <w:spacing w:after="60"/>
      </w:pPr>
      <w:r>
        <w:rPr>
          <w:rFonts w:ascii="Calibri" w:hAnsi="Calibri"/>
          <w:b w:val="0"/>
          <w:color w:val="4A5A50"/>
          <w:sz w:val="18"/>
        </w:rPr>
        <w:t>June 2021 – June 2026 · Flint, MI</w:t>
      </w:r>
    </w:p>
    <w:p>
      <w:pPr>
        <w:pStyle w:val="ListBullet"/>
        <w:spacing w:after="40"/>
      </w:pPr>
      <w:r>
        <w:rPr>
          <w:sz w:val="20"/>
        </w:rPr>
        <w:t>Final escalation point and endpoint engineering owner across 13 clinical and corporate sites, 1,200+ endpoints, and 4,000–5,000 tickets monthly under 24/7 uptime requirements.</w:t>
      </w:r>
    </w:p>
    <w:p>
      <w:pPr>
        <w:pStyle w:val="ListBullet"/>
        <w:spacing w:after="40"/>
      </w:pPr>
      <w:r>
        <w:rPr>
          <w:sz w:val="20"/>
        </w:rPr>
        <w:t>Deployed and customised unified endpoint management for silent software distribution, automated configuration, and custom script execution, cutting mean time to resolution by 35%.</w:t>
      </w:r>
    </w:p>
    <w:p>
      <w:pPr>
        <w:pStyle w:val="ListBullet"/>
        <w:spacing w:after="40"/>
      </w:pPr>
      <w:r>
        <w:rPr>
          <w:sz w:val="20"/>
        </w:rPr>
        <w:t>Developed custom API automations against the service desk platform that resolved aged tickets, generated staff reminders, and pushed real-time troubleshooting guidance into agent workflows — clearing 22% of aged backlog in two weeks.</w:t>
      </w:r>
    </w:p>
    <w:p>
      <w:pPr>
        <w:pStyle w:val="ListBullet"/>
        <w:spacing w:after="40"/>
      </w:pPr>
      <w:r>
        <w:rPr>
          <w:sz w:val="20"/>
        </w:rPr>
        <w:t>Rebuilt IAM provisioning and Active Directory profile governance, cutting access provisioning turnaround by 30% and eliminating a recurring class of access-related incidents at the root.</w:t>
      </w:r>
    </w:p>
    <w:p>
      <w:pPr>
        <w:pStyle w:val="ListBullet"/>
        <w:spacing w:after="40"/>
      </w:pPr>
      <w:r>
        <w:rPr>
          <w:sz w:val="20"/>
        </w:rPr>
        <w:t>Deployed a centralised virtual helpdesk across all sites, restructuring SLAs, ticket workflows, and the knowledge base; raised SLA compliance from 74% to 96% in three months.</w:t>
      </w:r>
    </w:p>
    <w:p>
      <w:pPr>
        <w:pStyle w:val="ListBullet"/>
        <w:spacing w:after="40"/>
      </w:pPr>
      <w:r>
        <w:rPr>
          <w:sz w:val="20"/>
        </w:rPr>
        <w:t>Built and led a 10–12 person multi-tier team: hiring, coaching, individual development plans, cross-training, and a documented escalation governance model.</w:t>
      </w:r>
    </w:p>
    <w:p>
      <w:pPr>
        <w:pStyle w:val="ListBullet"/>
        <w:spacing w:after="40"/>
      </w:pPr>
      <w:r>
        <w:rPr>
          <w:sz w:val="20"/>
        </w:rPr>
        <w:t>Planned and executed a Google Workspace to Microsoft 365 tenant migration for 500+ users including cutover, reconfiguration, and training — delivered three weeks early with zero disruption.</w:t>
      </w:r>
    </w:p>
    <w:p>
      <w:pPr>
        <w:pStyle w:val="ListBullet"/>
        <w:spacing w:after="40"/>
      </w:pPr>
      <w:r>
        <w:rPr>
          <w:sz w:val="20"/>
        </w:rPr>
        <w:t>Project lead for EMR/EHR platform deployment and optimisation (eClinicalWorks, Meditech); administered PSOne dictation infrastructure for the radiology team.</w:t>
      </w:r>
    </w:p>
    <w:p>
      <w:pPr>
        <w:spacing w:after="20"/>
      </w:pPr>
      <w:r>
        <w:rPr>
          <w:rFonts w:ascii="Calibri" w:hAnsi="Calibri"/>
          <w:b/>
          <w:sz w:val="20"/>
        </w:rPr>
        <w:t>Substitute Teacher, K–12 and Special Education — EDUSTAFF</w:t>
      </w:r>
    </w:p>
    <w:p>
      <w:pPr>
        <w:spacing w:after="60"/>
      </w:pPr>
      <w:r>
        <w:rPr>
          <w:rFonts w:ascii="Calibri" w:hAnsi="Calibri"/>
          <w:b w:val="0"/>
          <w:color w:val="4A5A50"/>
          <w:sz w:val="18"/>
        </w:rPr>
        <w:t>December 2019 – May 2021 · Genesee County, MI</w:t>
      </w:r>
    </w:p>
    <w:p>
      <w:pPr>
        <w:pStyle w:val="ListBullet"/>
        <w:spacing w:after="40"/>
      </w:pPr>
      <w:r>
        <w:rPr>
          <w:sz w:val="20"/>
        </w:rPr>
        <w:t>Guest taught kindergarten through senior-level courses including special education; specifically requested for elementary, special education, and advanced high school classes.</w:t>
      </w:r>
    </w:p>
    <w:p>
      <w:pPr>
        <w:spacing w:after="20"/>
      </w:pPr>
      <w:r>
        <w:rPr>
          <w:rFonts w:ascii="Calibri" w:hAnsi="Calibri"/>
          <w:b/>
          <w:sz w:val="20"/>
        </w:rPr>
        <w:t>Supervisor — NCG Trillium Cinema</w:t>
      </w:r>
    </w:p>
    <w:p>
      <w:pPr>
        <w:spacing w:after="60"/>
      </w:pPr>
      <w:r>
        <w:rPr>
          <w:rFonts w:ascii="Calibri" w:hAnsi="Calibri"/>
          <w:b w:val="0"/>
          <w:color w:val="4A5A50"/>
          <w:sz w:val="18"/>
        </w:rPr>
        <w:t>2013 – 2017 · Grand Blanc, MI</w:t>
      </w:r>
    </w:p>
    <w:p>
      <w:pPr>
        <w:pStyle w:val="ListBullet"/>
        <w:spacing w:after="40"/>
      </w:pPr>
      <w:r>
        <w:rPr>
          <w:sz w:val="20"/>
        </w:rPr>
        <w:t>Supervised floor operations and staff for a high-volume multi-screen theatre, coordinating shift coverage and customer service escalations.</w:t>
      </w:r>
    </w:p>
    <w:p>
      <w:pPr>
        <w:spacing w:after="60"/>
      </w:pPr>
      <w:r>
        <w:rPr>
          <w:rFonts w:ascii="Georgia" w:hAnsi="Georgia"/>
          <w:b/>
          <w:color w:val="185A3A"/>
          <w:sz w:val="24"/>
        </w:rPr>
        <w:t>PRODUCTS BUILT &amp; SHIPPED</w:t>
      </w:r>
    </w:p>
    <w:p>
      <w:pPr>
        <w:spacing w:after="20"/>
      </w:pPr>
      <w:r>
        <w:rPr>
          <w:rFonts w:ascii="Calibri" w:hAnsi="Calibri"/>
          <w:b/>
          <w:sz w:val="20"/>
        </w:rPr>
        <w:t>Tadbir — ServiceDesk Copilot</w:t>
      </w:r>
    </w:p>
    <w:p>
      <w:pPr>
        <w:spacing w:after="60"/>
      </w:pPr>
      <w:r>
        <w:rPr>
          <w:rFonts w:ascii="Calibri" w:hAnsi="Calibri"/>
          <w:b w:val="0"/>
          <w:color w:val="7D5F16"/>
          <w:sz w:val="17"/>
        </w:rPr>
        <w:t>github.com/ahmadsk-cell/tadbir-case-study</w:t>
      </w:r>
    </w:p>
    <w:p>
      <w:pPr>
        <w:pStyle w:val="ListBullet"/>
        <w:spacing w:after="40"/>
      </w:pPr>
      <w:r>
        <w:rPr>
          <w:sz w:val="20"/>
        </w:rPr>
        <w:t>Operations layer for Mojo Helpdesk: queue monitoring, configurable Audit/Aged business-day watchdogs, AI-generated staff notes from ticket history, and KB/SOP/report generation. Built to replace the maintenance scripts I was running as a service desk manager.</w:t>
      </w:r>
    </w:p>
    <w:p>
      <w:pPr>
        <w:pStyle w:val="ListBullet"/>
        <w:spacing w:after="40"/>
      </w:pPr>
      <w:r>
        <w:rPr>
          <w:sz w:val="20"/>
        </w:rPr>
        <w:t>Multi-provider AI client supporting bring-your-own-key cloud inference (Anthropic, OpenAI, Gemini, NVIDIA) or fully local models (Ollama, LM Studio), so customers retain their own keys and AI spend.</w:t>
      </w:r>
    </w:p>
    <w:p>
      <w:pPr>
        <w:pStyle w:val="ListBullet"/>
        <w:spacing w:after="40"/>
      </w:pPr>
      <w:r>
        <w:rPr>
          <w:sz w:val="20"/>
        </w:rPr>
        <w:t>Stack: Next.js App Router, TypeScript, Tailwind, PostgreSQL/Prisma, Redis job queues, Mojo Helpdesk REST API v2. Org-specific queue and tag IDs discovered and mapped at runtime rather than hardcoded.</w:t>
      </w:r>
    </w:p>
    <w:p>
      <w:pPr>
        <w:spacing w:after="40"/>
      </w:pPr>
      <w:r>
        <w:rPr>
          <w:rFonts w:ascii="Calibri" w:hAnsi="Calibri"/>
          <w:b w:val="0"/>
          <w:sz w:val="8"/>
        </w:rPr>
      </w:r>
    </w:p>
    <w:p>
      <w:pPr>
        <w:spacing w:after="20"/>
      </w:pPr>
      <w:r>
        <w:rPr>
          <w:rFonts w:ascii="Calibri" w:hAnsi="Calibri"/>
          <w:b/>
          <w:sz w:val="20"/>
        </w:rPr>
        <w:t>Mizan — Enterprise ITSM Platform</w:t>
      </w:r>
    </w:p>
    <w:p>
      <w:pPr>
        <w:spacing w:after="60"/>
      </w:pPr>
      <w:r>
        <w:rPr>
          <w:rFonts w:ascii="Calibri" w:hAnsi="Calibri"/>
          <w:b w:val="0"/>
          <w:color w:val="7D5F16"/>
          <w:sz w:val="17"/>
        </w:rPr>
        <w:t>mizan.help — deployed on Cloudflare/Railway/Resend</w:t>
      </w:r>
    </w:p>
    <w:p>
      <w:pPr>
        <w:pStyle w:val="ListBullet"/>
        <w:spacing w:after="40"/>
      </w:pPr>
      <w:r>
        <w:rPr>
          <w:sz w:val="20"/>
        </w:rPr>
        <w:t>ITIL-aligned service management application, live: end-user portal and agent console with request/incident intake, ITIL change and incident workflows, and AES-256-GCM encrypted attachments at rest.</w:t>
      </w:r>
    </w:p>
    <w:p>
      <w:pPr>
        <w:pStyle w:val="ListBullet"/>
        <w:spacing w:after="40"/>
      </w:pPr>
      <w:r>
        <w:rPr>
          <w:sz w:val="20"/>
        </w:rPr>
        <w:t>Designed and deployed the full stack solo: information architecture, intake taxonomy, agent workflows, database, and infrastructure. TypeScript, Next.js, Railway-hosted Postgres, Cloudflare DNS, Resend for transactional email.</w:t>
      </w:r>
    </w:p>
    <w:p>
      <w:pPr>
        <w:spacing w:after="40"/>
      </w:pPr>
      <w:r>
        <w:rPr>
          <w:rFonts w:ascii="Calibri" w:hAnsi="Calibri"/>
          <w:b w:val="0"/>
          <w:sz w:val="8"/>
        </w:rPr>
      </w:r>
    </w:p>
    <w:p>
      <w:pPr>
        <w:spacing w:after="20"/>
      </w:pPr>
      <w:r>
        <w:rPr>
          <w:rFonts w:ascii="Calibri" w:hAnsi="Calibri"/>
          <w:b/>
          <w:sz w:val="20"/>
        </w:rPr>
        <w:t>Qist — ITSM Showback &amp; Chargeback Dashboard</w:t>
      </w:r>
    </w:p>
    <w:p>
      <w:pPr>
        <w:spacing w:after="60"/>
      </w:pPr>
      <w:r>
        <w:rPr>
          <w:rFonts w:ascii="Calibri" w:hAnsi="Calibri"/>
          <w:b w:val="0"/>
          <w:color w:val="7D5F16"/>
          <w:sz w:val="17"/>
        </w:rPr>
        <w:t>github.com/ahmadsk-cell/Qist_ITSM-Showback-and-Chargeback-Dashboard</w:t>
      </w:r>
    </w:p>
    <w:p>
      <w:pPr>
        <w:pStyle w:val="ListBullet"/>
        <w:spacing w:after="40"/>
      </w:pPr>
      <w:r>
        <w:rPr>
          <w:sz w:val="20"/>
        </w:rPr>
        <w:t>Client-side IT financial management dashboard: department-level cost allocation, SLA-linked billing, compliance surcharges, and showback/chargeback mode switching, with branded executive PDF reporting.</w:t>
      </w:r>
    </w:p>
    <w:p>
      <w:pPr>
        <w:pStyle w:val="ListBullet"/>
        <w:spacing w:after="40"/>
      </w:pPr>
      <w:r>
        <w:rPr>
          <w:sz w:val="20"/>
        </w:rPr>
        <w:t>Built the full calculation model (asset base, ticket cost by tier and priority multiplier, shared overhead allocation, SLA credits/penalties) and CSV/JSON ticket import with smart field mapping. No backend; runs entirely in-browser.</w:t>
      </w:r>
    </w:p>
    <w:p>
      <w:pPr>
        <w:spacing w:after="40"/>
      </w:pPr>
      <w:r>
        <w:rPr>
          <w:rFonts w:ascii="Calibri" w:hAnsi="Calibri"/>
          <w:b w:val="0"/>
          <w:sz w:val="8"/>
        </w:rPr>
      </w:r>
    </w:p>
    <w:p>
      <w:pPr>
        <w:spacing w:after="20"/>
      </w:pPr>
      <w:r>
        <w:rPr>
          <w:rFonts w:ascii="Calibri" w:hAnsi="Calibri"/>
          <w:b/>
          <w:sz w:val="20"/>
        </w:rPr>
        <w:t>BootShapes — Fit-advisory platform</w:t>
      </w:r>
    </w:p>
    <w:p>
      <w:pPr>
        <w:spacing w:after="60"/>
      </w:pPr>
      <w:r>
        <w:rPr>
          <w:rFonts w:ascii="Calibri" w:hAnsi="Calibri"/>
          <w:b w:val="0"/>
          <w:color w:val="7D5F16"/>
          <w:sz w:val="17"/>
        </w:rPr>
        <w:t>bootshapes.com — live since July 2026, 100+ daily users</w:t>
      </w:r>
    </w:p>
    <w:p>
      <w:pPr>
        <w:pStyle w:val="ListBullet"/>
        <w:spacing w:after="40"/>
      </w:pPr>
      <w:r>
        <w:rPr>
          <w:sz w:val="20"/>
        </w:rPr>
        <w:t>Fit-advisory platform with a custom recommendation engine scoring footwear against a user-built foot profile across toe shape, width, volume, arch, and heel hold, returning explicit reasoning for each match. Nine-category foot taxonomy, privacy-first architecture requiring no accounts. Built and operated solo.</w:t>
      </w:r>
    </w:p>
    <w:p>
      <w:pPr>
        <w:spacing w:after="40"/>
      </w:pPr>
      <w:r>
        <w:rPr>
          <w:rFonts w:ascii="Calibri" w:hAnsi="Calibri"/>
          <w:b w:val="0"/>
          <w:sz w:val="8"/>
        </w:rPr>
      </w:r>
    </w:p>
    <w:p>
      <w:pPr>
        <w:spacing w:after="60"/>
      </w:pPr>
      <w:r>
        <w:rPr>
          <w:rFonts w:ascii="Georgia" w:hAnsi="Georgia"/>
          <w:b/>
          <w:color w:val="185A3A"/>
          <w:sz w:val="24"/>
        </w:rPr>
        <w:t>TECHNICAL SKILLS</w:t>
      </w:r>
    </w:p>
    <w:p>
      <w:pPr>
        <w:spacing w:after="60"/>
      </w:pPr>
      <w:r>
        <w:rPr>
          <w:b/>
          <w:sz w:val="20"/>
        </w:rPr>
        <w:t xml:space="preserve">Development: </w:t>
      </w:r>
      <w:r>
        <w:rPr>
          <w:sz w:val="20"/>
        </w:rPr>
        <w:t>TypeScript, Next.js App Router, React, Tailwind, Python 3, SQL, REST API design and integration, PostgreSQL/Prisma, Redis, multi-provider AI integration (cloud BYOK and local inference)</w:t>
      </w:r>
    </w:p>
    <w:p>
      <w:pPr>
        <w:spacing w:after="60"/>
      </w:pPr>
      <w:r>
        <w:rPr>
          <w:b/>
          <w:sz w:val="20"/>
        </w:rPr>
        <w:t xml:space="preserve">Endpoint &amp; Systems: </w:t>
      </w:r>
      <w:r>
        <w:rPr>
          <w:sz w:val="20"/>
        </w:rPr>
        <w:t>Zoho ManageEngine Endpoint Central, unified endpoint management, silent deployment, imaging, patch and vulnerability management, Windows 10/11, macOS, Linux</w:t>
      </w:r>
    </w:p>
    <w:p>
      <w:pPr>
        <w:spacing w:after="60"/>
      </w:pPr>
      <w:r>
        <w:rPr>
          <w:b/>
          <w:sz w:val="20"/>
        </w:rPr>
        <w:t xml:space="preserve">Identity &amp; Cloud: </w:t>
      </w:r>
      <w:r>
        <w:rPr>
          <w:sz w:val="20"/>
        </w:rPr>
        <w:t>Active Directory, Azure AD/Entra ID, Okta, IAM provisioning, RBAC, group policy, Microsoft 365 administration and tenant migration, Azure, AWS, Citrix</w:t>
      </w:r>
    </w:p>
    <w:p>
      <w:pPr>
        <w:spacing w:after="60"/>
      </w:pPr>
      <w:r>
        <w:rPr>
          <w:b/>
          <w:sz w:val="20"/>
        </w:rPr>
        <w:t xml:space="preserve">ITSM: </w:t>
      </w:r>
      <w:r>
        <w:rPr>
          <w:sz w:val="20"/>
        </w:rPr>
        <w:t>ITIL v4, incident, problem, change, and asset management, root cause analysis, escalation architecture, SLA governance, ServiceNow, Jira, Mojo Helpdesk, runbook and knowledge base authoring</w:t>
      </w:r>
    </w:p>
    <w:p>
      <w:pPr>
        <w:spacing w:after="60"/>
      </w:pPr>
      <w:r>
        <w:rPr>
          <w:b/>
          <w:sz w:val="20"/>
        </w:rPr>
        <w:t xml:space="preserve">Networking &amp; Security: </w:t>
      </w:r>
      <w:r>
        <w:rPr>
          <w:sz w:val="20"/>
        </w:rPr>
        <w:t>TCP/IP, DNS, DHCP, VPN, DHCP snooping, IP Source Guard, MAC filtering, rogue device detection, vulnerability remediation, UCaaS/VOIP (Zoom, RingCentral, Vonage)</w:t>
      </w:r>
    </w:p>
    <w:p>
      <w:pPr>
        <w:spacing w:after="60"/>
      </w:pPr>
      <w:r>
        <w:rPr>
          <w:rFonts w:ascii="Georgia" w:hAnsi="Georgia"/>
          <w:b/>
          <w:color w:val="185A3A"/>
          <w:sz w:val="24"/>
        </w:rPr>
        <w:t>EDUCATION &amp; CERTIFICATION</w:t>
      </w:r>
    </w:p>
    <w:p>
      <w:pPr>
        <w:spacing w:after="60"/>
      </w:pPr>
      <w:r>
        <w:rPr>
          <w:b/>
          <w:sz w:val="20"/>
        </w:rPr>
        <w:t>M.S., Computer Information Systems</w:t>
      </w:r>
      <w:r>
        <w:rPr>
          <w:sz w:val="20"/>
        </w:rPr>
        <w:t>, Grand Valley State University · 2017–2019</w:t>
      </w:r>
    </w:p>
    <w:p>
      <w:pPr>
        <w:spacing w:after="60"/>
      </w:pPr>
      <w:r>
        <w:rPr>
          <w:b/>
          <w:sz w:val="20"/>
        </w:rPr>
        <w:t>B.A., Psychology</w:t>
      </w:r>
      <w:r>
        <w:rPr>
          <w:sz w:val="20"/>
        </w:rPr>
        <w:t>, University of Michigan–Flint · 2011–2015</w:t>
      </w:r>
    </w:p>
    <w:p>
      <w:pPr>
        <w:spacing w:after="60"/>
      </w:pPr>
      <w:r>
        <w:rPr>
          <w:b/>
          <w:sz w:val="20"/>
        </w:rPr>
        <w:t>ITIL v4 Foundation</w:t>
      </w:r>
      <w:r>
        <w:rPr>
          <w:sz w:val="20"/>
        </w:rPr>
        <w:t>, PeopleCert / Axelos · 2023</w:t>
      </w:r>
    </w:p>
    <w:p>
      <w:pPr>
        <w:spacing w:after="60"/>
      </w:pPr>
      <w:r>
        <w:rPr>
          <w:b/>
          <w:sz w:val="20"/>
        </w:rPr>
        <w:t>Google AI Professional Certificate</w:t>
      </w:r>
      <w:r>
        <w:rPr>
          <w:sz w:val="20"/>
        </w:rPr>
        <w:t>, Google / Coursera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